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1E" w:rsidRPr="009557E4" w:rsidRDefault="009557E4" w:rsidP="000443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9557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2018. </w:t>
      </w:r>
      <w:r w:rsidR="00731F35">
        <w:rPr>
          <w:rFonts w:ascii="Times New Roman" w:hAnsi="Times New Roman" w:cs="Times New Roman"/>
          <w:b/>
          <w:i/>
          <w:sz w:val="24"/>
          <w:szCs w:val="24"/>
          <w:u w:val="single"/>
        </w:rPr>
        <w:t>novem</w:t>
      </w:r>
      <w:r w:rsidR="007C7E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beri </w:t>
      </w:r>
      <w:r w:rsidRPr="009557E4">
        <w:rPr>
          <w:rFonts w:ascii="Times New Roman" w:hAnsi="Times New Roman" w:cs="Times New Roman"/>
          <w:b/>
          <w:i/>
          <w:sz w:val="24"/>
          <w:szCs w:val="24"/>
          <w:u w:val="single"/>
        </w:rPr>
        <w:t>hírek</w:t>
      </w:r>
    </w:p>
    <w:p w:rsidR="009557E4" w:rsidRDefault="009557E4" w:rsidP="000443B3">
      <w:pPr>
        <w:rPr>
          <w:rFonts w:ascii="Times New Roman" w:hAnsi="Times New Roman" w:cs="Times New Roman"/>
          <w:sz w:val="24"/>
          <w:szCs w:val="24"/>
        </w:rPr>
      </w:pP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F35">
        <w:rPr>
          <w:rFonts w:ascii="Times New Roman" w:hAnsi="Times New Roman" w:cs="Times New Roman"/>
          <w:sz w:val="24"/>
          <w:szCs w:val="24"/>
        </w:rPr>
        <w:t>David Parker kereskedelmi miniszter szerint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kevés esély van arra a Kína–Új-Zéland FTA újratárgyalása során, hogy az ország tejtermék exportját jelenleg kedvezőtlenül érintő kínai kvótarendszer változzon a 2024-es kifutási idő előtt</w:t>
      </w:r>
      <w:r w:rsidRPr="00731F35">
        <w:rPr>
          <w:rFonts w:ascii="Times New Roman" w:hAnsi="Times New Roman" w:cs="Times New Roman"/>
          <w:sz w:val="24"/>
          <w:szCs w:val="24"/>
        </w:rPr>
        <w:t>. Kína az új-zélandi tejipar legfontosabb export piaca, 2017-ben 4,1 Mrd NZD értékű volt e termékcsoport – tejpor, vaj és sajt – kivitele. Mivel a jelenlegi FTA csak egy kvótán belül biztosít vámmentes piacra jutást, és ezt a kvótát az FTA 2008-as hatályba lépése óta nem várt mértékben emelkedő kivitel rendszeresen és jelentősen túllépi, így az új-zélandi exportot nagyjából évi 100 millió NZD vám terheli Kínában. Parker szerint azonban a 2024 előtti módosítás olyan engedményeket igényelhetne más új-zélandi érdekek esetében – pl. a szolgáltatásokra, e-kereskedelemre vonatkozó ambíciókban –, amely összességében hátrányosabban érintené az országot, mint a tejkvóta rendszer átmeneti továbbélése. További kiemelt érdekként említette Parker az erdészetet, ahol az export több mint 2/3-a irányul Kínába, tavaly 2,5 Mrd NZD-t elérve. Az új-zélandi erdőgazdaságban és fafeldolgozásban jelentős a kínai befektetés is, és Wellington szeretné elérni, hogy magasabb szinten feldolgozott, nagyobb hozzáadott értékű termékek kerüljenek exportra.</w:t>
      </w: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F35">
        <w:rPr>
          <w:rFonts w:ascii="Times New Roman" w:hAnsi="Times New Roman" w:cs="Times New Roman"/>
          <w:sz w:val="24"/>
          <w:szCs w:val="24"/>
        </w:rPr>
        <w:t>Bár a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Brexit</w:t>
      </w:r>
      <w:r w:rsidRPr="00731F35">
        <w:rPr>
          <w:rFonts w:ascii="Times New Roman" w:hAnsi="Times New Roman" w:cs="Times New Roman"/>
          <w:sz w:val="24"/>
          <w:szCs w:val="24"/>
        </w:rPr>
        <w:t> tárgyalásokon elért áttörést Új-Zélandon is optimistán fogadták az üzleti körök, azért a regionális kamarákat és egyéb üzleti szövetségeket összefogó BusinessNZ ernyőszervezet arra figyelmezteti a vállalatokat, hogy egyelőre időt nyerhettek 2020 végéig, de még mindig jelentős bizonytalanságok vannak hosszabb távon. Ráadásul a tárgyalásokon elért átmeneti megoldást az EU-ban és az Egyesült Királyságban is több lépcsőben kell elfogadni, így még maga az átmeneti megoldás sem vehető biztosra. Az exportőröknek ezért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továbbra is célszerű „szükséghelyzeti tervekkel” készülniük bármilyen eshetőségre</w:t>
      </w:r>
      <w:r w:rsidRPr="00731F35">
        <w:rPr>
          <w:rFonts w:ascii="Times New Roman" w:hAnsi="Times New Roman" w:cs="Times New Roman"/>
          <w:sz w:val="24"/>
          <w:szCs w:val="24"/>
        </w:rPr>
        <w:t>, amint azt egyébként a kormányszervek is teszik. A Brexitet követen kitárgyalandó – UK és NZ szempontjából egyaránt a kiemelt prioritások közé tartozó – UK-NZ FTA ügyéről az új-zélandi kormány november végén kezd nyilvános konzultációt a vállalatokkal, civil szférával.</w:t>
      </w: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F35">
        <w:rPr>
          <w:rFonts w:ascii="Times New Roman" w:hAnsi="Times New Roman" w:cs="Times New Roman"/>
          <w:sz w:val="24"/>
          <w:szCs w:val="24"/>
        </w:rPr>
        <w:t>Egy tudományos szimpóziumon az új-zélandi Külügy- és Külkereskedelmi Minisztérium gazdasági elemzésekkel foglalkozó főosztályának vezetője arra hívta fel a hallgatóság figyelmét, hogy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az országot nagyon aggasztja az Egyesült Államok kiszámíthatatlan vámpolitikája</w:t>
      </w:r>
      <w:r w:rsidRPr="00731F35">
        <w:rPr>
          <w:rFonts w:ascii="Times New Roman" w:hAnsi="Times New Roman" w:cs="Times New Roman"/>
          <w:sz w:val="24"/>
          <w:szCs w:val="24"/>
        </w:rPr>
        <w:t xml:space="preserve">. Különösen egy eszkalálódó USA–Kína vámháború esetén meglátása </w:t>
      </w:r>
      <w:r w:rsidRPr="00731F35">
        <w:rPr>
          <w:rFonts w:ascii="Times New Roman" w:hAnsi="Times New Roman" w:cs="Times New Roman"/>
          <w:sz w:val="24"/>
          <w:szCs w:val="24"/>
        </w:rPr>
        <w:lastRenderedPageBreak/>
        <w:t>szerint az Új-Zélandra gyakorolt hatások súlyosabbak lennének, mint a legutóbbi nemzetközi pénzügyi-gazdasági válság hatásai.</w:t>
      </w: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F35">
        <w:rPr>
          <w:rFonts w:ascii="Times New Roman" w:hAnsi="Times New Roman" w:cs="Times New Roman"/>
          <w:color w:val="FF0000"/>
          <w:sz w:val="24"/>
          <w:szCs w:val="24"/>
        </w:rPr>
        <w:t>November közepén a magyar Pénzügyminisztérium delegációja és az új-zélandi Adóhivatal (Inland Revenue Department) szakértőinek részvételével</w:t>
      </w:r>
      <w:r w:rsidRPr="00731F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Wellingtonban megkezdődtek a tárgyalások a kettős adóztatás elkerülését célzó magyar–új-zélandi megállapodásról</w:t>
      </w:r>
      <w:r w:rsidRPr="00731F35">
        <w:rPr>
          <w:rFonts w:ascii="Times New Roman" w:hAnsi="Times New Roman" w:cs="Times New Roman"/>
          <w:color w:val="FF0000"/>
          <w:sz w:val="24"/>
          <w:szCs w:val="24"/>
        </w:rPr>
        <w:t>. Egyelőre az álláspontok kölcsönös megismerésére és a vitás kérdések beazonosítására került sor, a megállapodás még komoly további egyeztetéseket igényel. A tárgyalások második fordulójára előreláthatólag 2019 közepe felé kerülhet sor Budapesten.</w:t>
      </w: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F35">
        <w:rPr>
          <w:rFonts w:ascii="Times New Roman" w:hAnsi="Times New Roman" w:cs="Times New Roman"/>
          <w:b/>
          <w:bCs/>
          <w:sz w:val="24"/>
          <w:szCs w:val="24"/>
        </w:rPr>
        <w:t>3,9%-ra</w:t>
      </w:r>
      <w:r w:rsidRPr="00731F35">
        <w:rPr>
          <w:rFonts w:ascii="Times New Roman" w:hAnsi="Times New Roman" w:cs="Times New Roman"/>
          <w:sz w:val="24"/>
          <w:szCs w:val="24"/>
        </w:rPr>
        <w:t>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csökkent az új-zélandi munkanélküliség a III. negyedévben</w:t>
      </w:r>
      <w:r w:rsidRPr="00731F35">
        <w:rPr>
          <w:rFonts w:ascii="Times New Roman" w:hAnsi="Times New Roman" w:cs="Times New Roman"/>
          <w:sz w:val="24"/>
          <w:szCs w:val="24"/>
        </w:rPr>
        <w:t> (a II. negyedéves adat 4,4% volt). Ez tíz éve a legalacsonyabb érték. Utoljára a világgazdasági válság kitörését közvetlenül megelőzően, 2008. II. negyedévben volt a mutató 3,8%-on, és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a foglalkoztatott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softHyphen/>
        <w:t>sági ráta soha nem volt ilyen magas</w:t>
      </w:r>
      <w:r w:rsidRPr="00731F35">
        <w:rPr>
          <w:rFonts w:ascii="Times New Roman" w:hAnsi="Times New Roman" w:cs="Times New Roman"/>
          <w:sz w:val="24"/>
          <w:szCs w:val="24"/>
        </w:rPr>
        <w:t> a vonatkozó statisztika 1986-os bevezetése óta. A kb. 4,95 milliós lakosságú országban 2,66 millió a foglalkoztatottak száma. Az ország nagy bankjainak gazdasági elemzői egyetértenek, hogy a kedvező foglalkoztatottsági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mutatók azt igazolják, nem voltak igazán reális gazdasági okai</w:t>
      </w:r>
      <w:r w:rsidRPr="00731F35">
        <w:rPr>
          <w:rFonts w:ascii="Times New Roman" w:hAnsi="Times New Roman" w:cs="Times New Roman"/>
          <w:sz w:val="24"/>
          <w:szCs w:val="24"/>
        </w:rPr>
        <w:t> az év első felében nagyon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alacsonyra eső üzleti hangulatindexeknek</w:t>
      </w:r>
      <w:r w:rsidRPr="00731F35">
        <w:rPr>
          <w:rFonts w:ascii="Times New Roman" w:hAnsi="Times New Roman" w:cs="Times New Roman"/>
          <w:sz w:val="24"/>
          <w:szCs w:val="24"/>
        </w:rPr>
        <w:t>.</w:t>
      </w: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F35">
        <w:rPr>
          <w:rFonts w:ascii="Times New Roman" w:hAnsi="Times New Roman" w:cs="Times New Roman"/>
          <w:b/>
          <w:bCs/>
          <w:sz w:val="24"/>
          <w:szCs w:val="24"/>
        </w:rPr>
        <w:t>Elfogadta a Parlament azt a törvényt, amely</w:t>
      </w:r>
      <w:r w:rsidRPr="00731F35">
        <w:rPr>
          <w:rFonts w:ascii="Times New Roman" w:hAnsi="Times New Roman" w:cs="Times New Roman"/>
          <w:sz w:val="24"/>
          <w:szCs w:val="24"/>
        </w:rPr>
        <w:t> a kormány korábbi bejelentésének megfelelően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beszünteti a tengeri (offshore) szénhidrogén-készletek feltárására szóló engedélyek kiadását</w:t>
      </w:r>
      <w:r w:rsidRPr="00731F35">
        <w:rPr>
          <w:rFonts w:ascii="Times New Roman" w:hAnsi="Times New Roman" w:cs="Times New Roman"/>
          <w:sz w:val="24"/>
          <w:szCs w:val="24"/>
        </w:rPr>
        <w:t>. A már kiadott feltárási engedélyek alapján fellelt készletek kitermelése azonban a felfedezést követően még 40 évig folyhat, ami gyakorlatilag azt jelenti, hogy – amennyiben a készletek kimerülése előbb nem indokolja – csak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nagyjából 50 éves időtávban fog teljesen megszűnni a tengeri kőolaj- és földgázkitermelés</w:t>
      </w:r>
      <w:r w:rsidRPr="00731F35">
        <w:rPr>
          <w:rFonts w:ascii="Times New Roman" w:hAnsi="Times New Roman" w:cs="Times New Roman"/>
          <w:sz w:val="24"/>
          <w:szCs w:val="24"/>
        </w:rPr>
        <w:t> Új-Zéland partjainál (l. korábbi 359/WLG/2018 és 427/WLG/2018 jelentéseink).</w:t>
      </w: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F35">
        <w:rPr>
          <w:rFonts w:ascii="Times New Roman" w:hAnsi="Times New Roman" w:cs="Times New Roman"/>
          <w:sz w:val="24"/>
          <w:szCs w:val="24"/>
        </w:rPr>
        <w:t>A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miniszterelnöki üzleti tanácsadó testület</w:t>
      </w:r>
      <w:r w:rsidRPr="00731F35">
        <w:rPr>
          <w:rFonts w:ascii="Times New Roman" w:hAnsi="Times New Roman" w:cs="Times New Roman"/>
          <w:sz w:val="24"/>
          <w:szCs w:val="24"/>
        </w:rPr>
        <w:t> Jacinda Ardern kormányfővel való első tanács</w:t>
      </w:r>
      <w:r w:rsidRPr="00731F35">
        <w:rPr>
          <w:rFonts w:ascii="Times New Roman" w:hAnsi="Times New Roman" w:cs="Times New Roman"/>
          <w:sz w:val="24"/>
          <w:szCs w:val="24"/>
        </w:rPr>
        <w:softHyphen/>
        <w:t>kozását követően közzétette, mely területekre fogják munkájukat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koncentrálni</w:t>
      </w:r>
      <w:r w:rsidRPr="00731F35">
        <w:rPr>
          <w:rFonts w:ascii="Times New Roman" w:hAnsi="Times New Roman" w:cs="Times New Roman"/>
          <w:sz w:val="24"/>
          <w:szCs w:val="24"/>
        </w:rPr>
        <w:t>: (1) a jövő munkahelyeihez szükséges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képességek fejlesztése</w:t>
      </w:r>
      <w:r w:rsidRPr="00731F35">
        <w:rPr>
          <w:rFonts w:ascii="Times New Roman" w:hAnsi="Times New Roman" w:cs="Times New Roman"/>
          <w:sz w:val="24"/>
          <w:szCs w:val="24"/>
        </w:rPr>
        <w:t>; (2) a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régiók fejlődésének</w:t>
      </w:r>
      <w:r w:rsidRPr="00731F35">
        <w:rPr>
          <w:rFonts w:ascii="Times New Roman" w:hAnsi="Times New Roman" w:cs="Times New Roman"/>
          <w:sz w:val="24"/>
          <w:szCs w:val="24"/>
        </w:rPr>
        <w:t> gyorsítása; (3)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magas minőségű befektetések </w:t>
      </w:r>
      <w:r w:rsidRPr="00731F35">
        <w:rPr>
          <w:rFonts w:ascii="Times New Roman" w:hAnsi="Times New Roman" w:cs="Times New Roman"/>
          <w:sz w:val="24"/>
          <w:szCs w:val="24"/>
        </w:rPr>
        <w:t>vonzása az országba; (4) a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KKV szektor</w:t>
      </w:r>
      <w:r w:rsidRPr="00731F35">
        <w:rPr>
          <w:rFonts w:ascii="Times New Roman" w:hAnsi="Times New Roman" w:cs="Times New Roman"/>
          <w:sz w:val="24"/>
          <w:szCs w:val="24"/>
        </w:rPr>
        <w:t> kibontakozásának segítése (ez utóbbi inkább távlati cél, míg az első három a közeljövő prioritása).</w:t>
      </w: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F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Fletcher Building Ltd eladta</w:t>
      </w:r>
      <w:r w:rsidRPr="00731F3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31F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várpalotai AHI Roofing Kft.-t közvetlenül tulajdonló tetőcserép üzletágat</w:t>
      </w:r>
      <w:r w:rsidRPr="00731F35">
        <w:rPr>
          <w:rFonts w:ascii="Times New Roman" w:hAnsi="Times New Roman" w:cs="Times New Roman"/>
          <w:color w:val="FF0000"/>
          <w:sz w:val="24"/>
          <w:szCs w:val="24"/>
        </w:rPr>
        <w:t>. A világszerte négy gyárat működtető üzletágat </w:t>
      </w:r>
      <w:r w:rsidRPr="00731F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731F35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vevő</w:t>
      </w:r>
      <w:r w:rsidRPr="00731F3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31F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kanadai IKO Industries Ltd</w:t>
      </w:r>
      <w:r w:rsidRPr="00731F35">
        <w:rPr>
          <w:rFonts w:ascii="Times New Roman" w:hAnsi="Times New Roman" w:cs="Times New Roman"/>
          <w:color w:val="FF0000"/>
          <w:sz w:val="24"/>
          <w:szCs w:val="24"/>
        </w:rPr>
        <w:t> 39 millió USD áron veszi át egyben. A Fletcher Building Roof Tile Group regionális vezetőjének tájékoztatása szerint a tranzakció egyelőre nem érinti közvetlenül a magyar gyár működését.</w:t>
      </w: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F35">
        <w:rPr>
          <w:rFonts w:ascii="Times New Roman" w:hAnsi="Times New Roman" w:cs="Times New Roman"/>
          <w:sz w:val="24"/>
          <w:szCs w:val="24"/>
        </w:rPr>
        <w:t>Immár 3. éve folyamatosan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ismét Új-Zélandot találta az üzleti környezet szempont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softHyphen/>
        <w:t>jából legkedvezőbb országnak a Világbank Csoport Doing Buisness 2019</w:t>
      </w:r>
      <w:r w:rsidRPr="00731F35">
        <w:rPr>
          <w:rFonts w:ascii="Times New Roman" w:hAnsi="Times New Roman" w:cs="Times New Roman"/>
          <w:sz w:val="24"/>
          <w:szCs w:val="24"/>
        </w:rPr>
        <w:t> jelentése. Az indexet alkotó számos vizsgált jellemzőben 1-2. helyen áll az ország (pl. vállalat</w:t>
      </w:r>
      <w:r w:rsidRPr="00731F35">
        <w:rPr>
          <w:rFonts w:ascii="Times New Roman" w:hAnsi="Times New Roman" w:cs="Times New Roman"/>
          <w:sz w:val="24"/>
          <w:szCs w:val="24"/>
        </w:rPr>
        <w:softHyphen/>
        <w:t>alapítás és ingatlan tulajdonszerzés bejegyzése, hitelhez jutás, kisebbségi tulajdonosok védelme), az első tízben szerepel ezen kívül az építési engedélyek és az adózás egyszerűsége terén. Kicsit gyengébb a helyezése a szerződések érvényesítése és a csődeljárás terén (21. és 31. helyezés). Ahol pedig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bőven lehetne még tovább javítani</w:t>
      </w:r>
      <w:r w:rsidRPr="00731F35">
        <w:rPr>
          <w:rFonts w:ascii="Times New Roman" w:hAnsi="Times New Roman" w:cs="Times New Roman"/>
          <w:sz w:val="24"/>
          <w:szCs w:val="24"/>
        </w:rPr>
        <w:t>, az az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elektromos hálózatra való csatlakozás</w:t>
      </w:r>
      <w:r w:rsidRPr="00731F35">
        <w:rPr>
          <w:rFonts w:ascii="Times New Roman" w:hAnsi="Times New Roman" w:cs="Times New Roman"/>
          <w:sz w:val="24"/>
          <w:szCs w:val="24"/>
        </w:rPr>
        <w:t> (45. helyezés), valamint a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külkeres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softHyphen/>
        <w:t>kedelem egyszerűsége</w:t>
      </w:r>
      <w:r w:rsidRPr="00731F35">
        <w:rPr>
          <w:rFonts w:ascii="Times New Roman" w:hAnsi="Times New Roman" w:cs="Times New Roman"/>
          <w:sz w:val="24"/>
          <w:szCs w:val="24"/>
        </w:rPr>
        <w:t> (60. helyezés). A vámeljárások a fejlett országokkal össze</w:t>
      </w:r>
      <w:r w:rsidRPr="00731F35">
        <w:rPr>
          <w:rFonts w:ascii="Times New Roman" w:hAnsi="Times New Roman" w:cs="Times New Roman"/>
          <w:sz w:val="24"/>
          <w:szCs w:val="24"/>
        </w:rPr>
        <w:softHyphen/>
        <w:t>hasonlítva igen drágák és időigényesek.</w:t>
      </w: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F35">
        <w:rPr>
          <w:rFonts w:ascii="Times New Roman" w:hAnsi="Times New Roman" w:cs="Times New Roman"/>
          <w:sz w:val="24"/>
          <w:szCs w:val="24"/>
        </w:rPr>
        <w:t>2015 novembere óta nem tapasztalt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mélyre süllyedt az új-zélandi dollár árfolyama</w:t>
      </w:r>
      <w:r w:rsidRPr="00731F35">
        <w:rPr>
          <w:rFonts w:ascii="Times New Roman" w:hAnsi="Times New Roman" w:cs="Times New Roman"/>
          <w:sz w:val="24"/>
          <w:szCs w:val="24"/>
        </w:rPr>
        <w:t> az USD-hez képest október folyamán, és szinte az egész hónapban a 0,66 USD/NZD szint alatt maradt. Kereskedelmi banki elemzők szerint az NZD további süllyedése várható az év végéig.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Tartósan a mai szint alatt utoljára a 2008/09-es válság idején volt az NZD árfolyama.</w:t>
      </w:r>
      <w:r w:rsidRPr="00731F35">
        <w:rPr>
          <w:rFonts w:ascii="Times New Roman" w:hAnsi="Times New Roman" w:cs="Times New Roman"/>
          <w:sz w:val="24"/>
          <w:szCs w:val="24"/>
        </w:rPr>
        <w:t> A gyenge valuta ugyan segíti a turizmust és az áruexportot, de a fogyasztók is megérzik, különösen az üzem</w:t>
      </w:r>
      <w:r w:rsidRPr="00731F35">
        <w:rPr>
          <w:rFonts w:ascii="Times New Roman" w:hAnsi="Times New Roman" w:cs="Times New Roman"/>
          <w:sz w:val="24"/>
          <w:szCs w:val="24"/>
        </w:rPr>
        <w:softHyphen/>
        <w:t>anyagok árának emelkedésében. Az Automobile Association felmérése szerint októberben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minden eddigi rekordot megdöntve 2,5 NZD körüli szintre (kb. 460 Ft) nőtt a 91-es benzin</w:t>
      </w:r>
      <w:r w:rsidRPr="00731F35">
        <w:rPr>
          <w:rFonts w:ascii="Times New Roman" w:hAnsi="Times New Roman" w:cs="Times New Roman"/>
          <w:sz w:val="24"/>
          <w:szCs w:val="24"/>
        </w:rPr>
        <w:t>, 1,85 NZD-re pedig a dízel literenkénti ára (a dízel autókat úthasználattal arányos különadó terheli). A benzin árának növekedéséhez hozzájárult a jövedéki adó literenkénti 4 centes emelése is október 1-től.</w:t>
      </w: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F35">
        <w:rPr>
          <w:rFonts w:ascii="Times New Roman" w:hAnsi="Times New Roman" w:cs="Times New Roman"/>
          <w:sz w:val="24"/>
          <w:szCs w:val="24"/>
        </w:rPr>
        <w:t>Új-Zéland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negyedik legfontosabb export cikkévé vált</w:t>
      </w:r>
      <w:r w:rsidRPr="00731F35">
        <w:rPr>
          <w:rFonts w:ascii="Times New Roman" w:hAnsi="Times New Roman" w:cs="Times New Roman"/>
          <w:sz w:val="24"/>
          <w:szCs w:val="24"/>
        </w:rPr>
        <w:t> az utóbbi időben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az oktatás</w:t>
      </w:r>
      <w:r w:rsidRPr="00731F35">
        <w:rPr>
          <w:rFonts w:ascii="Times New Roman" w:hAnsi="Times New Roman" w:cs="Times New Roman"/>
          <w:sz w:val="24"/>
          <w:szCs w:val="24"/>
        </w:rPr>
        <w:t> (a tej- és hústermékek kivitele, valamint a turizmus exportbevételei után). Egy 2017. évi adatokon alapuló elemzés szerint a külföldi hallgatók képzése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5,1 Mrd NZD értékű exportot generált</w:t>
      </w:r>
      <w:r w:rsidRPr="00731F35">
        <w:rPr>
          <w:rFonts w:ascii="Times New Roman" w:hAnsi="Times New Roman" w:cs="Times New Roman"/>
          <w:sz w:val="24"/>
          <w:szCs w:val="24"/>
        </w:rPr>
        <w:t>. Ebből 4,8 Mrd volt az Új-Zélandon tanuló több mint 125 ezer hallgató részesedése, 0,3 Mrd NZD pedig a belföldi intézmények által a határokon kívül nyújtott szolgáltatás távoktatás vagy kihelyezett egységek révén. A nemzetközi képzés csaknem 50 ezer munkahelyet tart fenn az országban.</w:t>
      </w: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F35">
        <w:rPr>
          <w:rFonts w:ascii="Times New Roman" w:hAnsi="Times New Roman" w:cs="Times New Roman"/>
          <w:b/>
          <w:bCs/>
          <w:sz w:val="24"/>
          <w:szCs w:val="24"/>
        </w:rPr>
        <w:t>Több mint 90 új-zélandi vállalkozás</w:t>
      </w:r>
      <w:r w:rsidRPr="00731F35">
        <w:rPr>
          <w:rFonts w:ascii="Times New Roman" w:hAnsi="Times New Roman" w:cs="Times New Roman"/>
          <w:sz w:val="24"/>
          <w:szCs w:val="24"/>
        </w:rPr>
        <w:t> vett részt a november 5-10. között Shanghajban rendezett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Kína Nemzetközi Import Expón</w:t>
      </w:r>
      <w:r w:rsidRPr="00731F35">
        <w:rPr>
          <w:rFonts w:ascii="Times New Roman" w:hAnsi="Times New Roman" w:cs="Times New Roman"/>
          <w:sz w:val="24"/>
          <w:szCs w:val="24"/>
        </w:rPr>
        <w:t>. Az expó kezdeti napjaiban az üzleti delegáció mellett Shanghajban tartózkodott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David Parker kereskedelmi miniszter is</w:t>
      </w:r>
      <w:r w:rsidRPr="00731F35">
        <w:rPr>
          <w:rFonts w:ascii="Times New Roman" w:hAnsi="Times New Roman" w:cs="Times New Roman"/>
          <w:sz w:val="24"/>
          <w:szCs w:val="24"/>
        </w:rPr>
        <w:t xml:space="preserve">, </w:t>
      </w:r>
      <w:r w:rsidRPr="00731F35">
        <w:rPr>
          <w:rFonts w:ascii="Times New Roman" w:hAnsi="Times New Roman" w:cs="Times New Roman"/>
          <w:sz w:val="24"/>
          <w:szCs w:val="24"/>
        </w:rPr>
        <w:lastRenderedPageBreak/>
        <w:t>aki új-zélandi részről felelős a két ország közötti kétoldalú szabadkereskedelmi egyezmény jelenleg folyó újratárgyalási folyamatáért.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Kína az ország első számú export célországa</w:t>
      </w:r>
      <w:r w:rsidRPr="00731F35">
        <w:rPr>
          <w:rFonts w:ascii="Times New Roman" w:hAnsi="Times New Roman" w:cs="Times New Roman"/>
          <w:sz w:val="24"/>
          <w:szCs w:val="24"/>
        </w:rPr>
        <w:t> mind a teljes kivitelben (2017-ben 10,53 Mrd USD), mind pedig az áruexport tekintetében (2017-ben 8,49 Mrd NZD), szolgáltatásexportban pedig Ausztrália, az EU egésze és az USA mögött a 4. helyen áll. Az expó margóján Parker megnyitotta a 7. alkalommal sorra kerülő, kilenc nagyvárosra kiterjedő és immár 15 naposra bővült Új-Zéland Hét rendez</w:t>
      </w:r>
      <w:r w:rsidRPr="00731F35">
        <w:rPr>
          <w:rFonts w:ascii="Times New Roman" w:hAnsi="Times New Roman" w:cs="Times New Roman"/>
          <w:sz w:val="24"/>
          <w:szCs w:val="24"/>
        </w:rPr>
        <w:softHyphen/>
        <w:t>vényt, ami alapvetően az élelmiszeripari termékek és italok, valamint a turizmus promótálását szolgálja.</w:t>
      </w:r>
    </w:p>
    <w:p w:rsidR="00731F35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F35">
        <w:rPr>
          <w:rFonts w:ascii="Times New Roman" w:hAnsi="Times New Roman" w:cs="Times New Roman"/>
          <w:b/>
          <w:bCs/>
          <w:sz w:val="24"/>
          <w:szCs w:val="24"/>
        </w:rPr>
        <w:t>Szándéknyilatkozatot írt alá az Airbus az új-zélandi Üzleti, Innovációs és Munka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softHyphen/>
        <w:t>ügyi Minisztériummal</w:t>
      </w:r>
      <w:r w:rsidRPr="00731F35">
        <w:rPr>
          <w:rFonts w:ascii="Times New Roman" w:hAnsi="Times New Roman" w:cs="Times New Roman"/>
          <w:sz w:val="24"/>
          <w:szCs w:val="24"/>
        </w:rPr>
        <w:t> arról, hogy a repülőgép- és űripari vállalat a jövőben elősegíti a vezető nélküli repülőgépek és az űripari adatkezelő technológiák új-zélandi fejlesztését. Az Airbus különösen azt vállalja, hogy Új-Zélandot bevonja a vezető nélküli repülők tesztelésébe, valamint együttműködik az említett informatikai technológiák országon belüli fejlesztésében vagy adaptálásában.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Néhány héttel korábban</w:t>
      </w:r>
      <w:r w:rsidRPr="00731F35">
        <w:rPr>
          <w:rFonts w:ascii="Times New Roman" w:hAnsi="Times New Roman" w:cs="Times New Roman"/>
          <w:sz w:val="24"/>
          <w:szCs w:val="24"/>
        </w:rPr>
        <w:t> az Airbus a mindössze másfél éve létrehozott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 Űrkutatási Technológiai Központtal</w:t>
      </w:r>
      <w:r w:rsidRPr="00731F35">
        <w:rPr>
          <w:rFonts w:ascii="Times New Roman" w:hAnsi="Times New Roman" w:cs="Times New Roman"/>
          <w:sz w:val="24"/>
          <w:szCs w:val="24"/>
        </w:rPr>
        <w:t> (Centre for Space Science Technology, CSST) írt alá együttműködési megállapodást. Ennek értelmében a CSST lett az Airbus által gyűjtött műholdas adatok, valamint a cég termékeinek első számú szolgáltatója Új-Zélandon és a dél-csendes-óceáni térségben.</w:t>
      </w:r>
    </w:p>
    <w:p w:rsidR="000443B3" w:rsidRPr="00731F35" w:rsidRDefault="00731F35" w:rsidP="00731F35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1F35">
        <w:rPr>
          <w:rFonts w:ascii="Times New Roman" w:hAnsi="Times New Roman" w:cs="Times New Roman"/>
          <w:sz w:val="24"/>
          <w:szCs w:val="24"/>
        </w:rPr>
        <w:t>Az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amerikai LeoLabs Inc.</w:t>
      </w:r>
      <w:r w:rsidRPr="00731F35">
        <w:rPr>
          <w:rFonts w:ascii="Times New Roman" w:hAnsi="Times New Roman" w:cs="Times New Roman"/>
          <w:sz w:val="24"/>
          <w:szCs w:val="24"/>
        </w:rPr>
        <w:t> az űrben alacsony föld körüli térben mozgó hulladékok követésére alkalmas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radarállomás felállításáról állapodott meg az új-zélandi hatóságokkal</w:t>
      </w:r>
      <w:r w:rsidRPr="00731F35">
        <w:rPr>
          <w:rFonts w:ascii="Times New Roman" w:hAnsi="Times New Roman" w:cs="Times New Roman"/>
          <w:sz w:val="24"/>
          <w:szCs w:val="24"/>
        </w:rPr>
        <w:t>. A déli féltekén ez lesz az első ilyen radar, amely képes a 2 cm nagyságot meghaladó tárgyak követésére a műholdak által leginkább használt térben. A LeoLabs CEO szerint elképzeléseik közt szerepel az is, hogy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két éven belül szoftverfejlesztő irodát hoznak létre Új-Zélandon</w:t>
      </w:r>
      <w:r w:rsidRPr="00731F35">
        <w:rPr>
          <w:rFonts w:ascii="Times New Roman" w:hAnsi="Times New Roman" w:cs="Times New Roman"/>
          <w:sz w:val="24"/>
          <w:szCs w:val="24"/>
        </w:rPr>
        <w:t>. A LeoLabs, valamint a vezető nélküli repülő taxikat fejlesztő, a Google-alapító Larry Page érdekeltségébe tartozó Zephyr Airworks is nem kis részben </w:t>
      </w:r>
      <w:r w:rsidRPr="00731F35">
        <w:rPr>
          <w:rFonts w:ascii="Times New Roman" w:hAnsi="Times New Roman" w:cs="Times New Roman"/>
          <w:b/>
          <w:bCs/>
          <w:sz w:val="24"/>
          <w:szCs w:val="24"/>
        </w:rPr>
        <w:t>az új-zélandi kormány Innovatív Partnerség programjának tulajdonítja K+F tevékenységének fejlesztését</w:t>
      </w:r>
      <w:r w:rsidRPr="00731F35">
        <w:rPr>
          <w:rFonts w:ascii="Times New Roman" w:hAnsi="Times New Roman" w:cs="Times New Roman"/>
          <w:sz w:val="24"/>
          <w:szCs w:val="24"/>
        </w:rPr>
        <w:t> az országban.</w:t>
      </w:r>
    </w:p>
    <w:sectPr w:rsidR="000443B3" w:rsidRPr="0073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786"/>
    <w:multiLevelType w:val="hybridMultilevel"/>
    <w:tmpl w:val="8BCC9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9B1"/>
    <w:multiLevelType w:val="hybridMultilevel"/>
    <w:tmpl w:val="A5647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4F5F"/>
    <w:multiLevelType w:val="multilevel"/>
    <w:tmpl w:val="53BC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145EF"/>
    <w:multiLevelType w:val="multilevel"/>
    <w:tmpl w:val="667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04CE5"/>
    <w:multiLevelType w:val="multilevel"/>
    <w:tmpl w:val="6A5E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23B7A"/>
    <w:multiLevelType w:val="hybridMultilevel"/>
    <w:tmpl w:val="CCB25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E4"/>
    <w:rsid w:val="000443B3"/>
    <w:rsid w:val="002E581E"/>
    <w:rsid w:val="006C4952"/>
    <w:rsid w:val="00731F35"/>
    <w:rsid w:val="0078443F"/>
    <w:rsid w:val="007C7EC1"/>
    <w:rsid w:val="009557E4"/>
    <w:rsid w:val="00981C1C"/>
    <w:rsid w:val="00C0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BEF8-4A74-4E79-A2EA-6028D805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557E4"/>
    <w:rPr>
      <w:u w:val="single"/>
    </w:rPr>
  </w:style>
  <w:style w:type="paragraph" w:styleId="Listaszerbekezds">
    <w:name w:val="List Paragraph"/>
    <w:uiPriority w:val="34"/>
    <w:qFormat/>
    <w:rsid w:val="009557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jc w:val="left"/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character" w:styleId="Kiemels2">
    <w:name w:val="Strong"/>
    <w:basedOn w:val="Bekezdsalapbettpusa"/>
    <w:uiPriority w:val="22"/>
    <w:qFormat/>
    <w:rsid w:val="006C4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 Béla - WLG</dc:creator>
  <cp:keywords/>
  <dc:description/>
  <cp:lastModifiedBy>Gyorsok Enikő Tünde - WLG</cp:lastModifiedBy>
  <cp:revision>2</cp:revision>
  <dcterms:created xsi:type="dcterms:W3CDTF">2018-12-20T19:49:00Z</dcterms:created>
  <dcterms:modified xsi:type="dcterms:W3CDTF">2018-12-20T19:49:00Z</dcterms:modified>
</cp:coreProperties>
</file>