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1E" w:rsidRPr="009557E4" w:rsidRDefault="009557E4" w:rsidP="000443B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9557E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2018. </w:t>
      </w:r>
      <w:r w:rsidR="000443B3">
        <w:rPr>
          <w:rFonts w:ascii="Times New Roman" w:hAnsi="Times New Roman" w:cs="Times New Roman"/>
          <w:b/>
          <w:i/>
          <w:sz w:val="24"/>
          <w:szCs w:val="24"/>
          <w:u w:val="single"/>
        </w:rPr>
        <w:t>októ</w:t>
      </w:r>
      <w:r w:rsidR="007C7EC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beri </w:t>
      </w:r>
      <w:r w:rsidRPr="009557E4">
        <w:rPr>
          <w:rFonts w:ascii="Times New Roman" w:hAnsi="Times New Roman" w:cs="Times New Roman"/>
          <w:b/>
          <w:i/>
          <w:sz w:val="24"/>
          <w:szCs w:val="24"/>
          <w:u w:val="single"/>
        </w:rPr>
        <w:t>hírek</w:t>
      </w:r>
    </w:p>
    <w:p w:rsidR="009557E4" w:rsidRDefault="009557E4" w:rsidP="000443B3">
      <w:pPr>
        <w:rPr>
          <w:rFonts w:ascii="Times New Roman" w:hAnsi="Times New Roman" w:cs="Times New Roman"/>
          <w:sz w:val="24"/>
          <w:szCs w:val="24"/>
        </w:rPr>
      </w:pPr>
    </w:p>
    <w:p w:rsidR="000443B3" w:rsidRPr="000443B3" w:rsidRDefault="000443B3" w:rsidP="000443B3">
      <w:pPr>
        <w:pStyle w:val="Listaszerbekezds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443B3">
        <w:rPr>
          <w:rFonts w:ascii="Times New Roman" w:hAnsi="Times New Roman" w:cs="Times New Roman"/>
          <w:sz w:val="24"/>
          <w:szCs w:val="24"/>
          <w:lang w:val="hu-HU"/>
        </w:rPr>
        <w:t>2017-hez képest két helyet visszább csúszva a 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18. helyen áll Új-Zéland a World Economic Forum friss globális versenyképességi listáján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 (1. helyen az USA, Magyarország 48.). Az index számításánál figyelembe vett tényezők közül 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élen jár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 az ország 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a makrogazdasági stabilitás és az intézményrendszer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 tekintetében, emellett szintén nagyon 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jól teljesít a képzett munkaerő és a piacra jutás egyszerű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softHyphen/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sége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 tekintetében.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Viszonylag gyengébb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 eredményeket ér el viszont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a fizikai és informatikai infrastruktúra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, valamint az 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innovációs kapacitás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 terén.</w:t>
      </w:r>
    </w:p>
    <w:p w:rsidR="000443B3" w:rsidRPr="000443B3" w:rsidRDefault="000443B3" w:rsidP="000443B3">
      <w:pPr>
        <w:pStyle w:val="Listaszerbekezds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443B3">
        <w:rPr>
          <w:rFonts w:ascii="Times New Roman" w:hAnsi="Times New Roman" w:cs="Times New Roman"/>
          <w:sz w:val="24"/>
          <w:szCs w:val="24"/>
          <w:lang w:val="hu-HU"/>
        </w:rPr>
        <w:t>Egy friss iparági jelentés szerint 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11%-kal emelkedve 11,1 Mrd NZD-re nőtt Új-Zéland 200 legnagyobb technológiai vállalatának árbevétele a 2017/18-as adóév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softHyphen/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ben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 (a kategóriába beleértve az elektronikai és műszergyártóktól a gyógy</w:t>
      </w:r>
      <w:r>
        <w:rPr>
          <w:rFonts w:ascii="Times New Roman" w:hAnsi="Times New Roman" w:cs="Times New Roman"/>
          <w:sz w:val="24"/>
          <w:szCs w:val="24"/>
          <w:lang w:val="hu-HU"/>
        </w:rPr>
        <w:softHyphen/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szerészeti és biotechnológiai cégeken át az IKT szektorig sok mindent). 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A cégek jövedelmezőségi mutatója 38%-kal javult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, ami a legnagyobb ugrás azóta, hogy az éves elemzést 2005-ben megindították. A jelentés kiemeli, hogy bár Aucklandben és közvetlen környezetében összpontosul az árbevétel mintegy 60%-a, a növekedés egyenletes volt országszerte. A bővülés főként az exportnak köszönhető, amely 7,8 Mrd NZD-vel járult hozzá az árbevételhez. Idén először az IKT cégek száma meghaladta a high tech gyártó vállalatok számát a 200-as listán, és az IKT szegmens érte el a legnagyobb átlagos forgalomnövekedést is (14,1%), összesen 4,2 Mrd NZD árbevételt produkálva. 6,1 Mrd NZD árbevétellel azonban még így is a csúcstechnológiát használó gyártó cégeké a legnagyobb szelet a bevételből, bár náluk az átlagos növekedés csak 8,6% volt. Az árbevétel alapján a lista élén szereplő cégek (az 1. helyezett árbevétele 1,27 Mrd, a 7. helyezetté 226 millió NZD volt):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Datacom Group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 xml:space="preserve">(vállalati </w:t>
      </w:r>
      <w:r>
        <w:rPr>
          <w:rFonts w:ascii="Times New Roman" w:hAnsi="Times New Roman" w:cs="Times New Roman"/>
          <w:sz w:val="24"/>
          <w:szCs w:val="24"/>
          <w:lang w:val="hu-HU"/>
        </w:rPr>
        <w:t>menedzs</w:t>
      </w:r>
      <w:r>
        <w:rPr>
          <w:rFonts w:ascii="Times New Roman" w:hAnsi="Times New Roman" w:cs="Times New Roman"/>
          <w:sz w:val="24"/>
          <w:szCs w:val="24"/>
          <w:lang w:val="hu-HU"/>
        </w:rPr>
        <w:softHyphen/>
        <w:t xml:space="preserve">ment szoftver; 1. hely);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Fisher &amp; Paykel Appliances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(háztartási elektronikai cikkek, 2. hely);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Fisher &amp; Paykel Healthcare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(orvosi műszer, 3. hely);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Xero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(számviteli szoftver, 4. hely);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Gallagher Group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(high tech elektronikai és informatikai eszközök, precíziós alkatrészgyártás, 5. hely);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Livestock Improvement Corporation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(biotech, agritech, 6. hely);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Douglas Pharmaceuticals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(gyógyszergyártás, 7. hely).</w:t>
      </w:r>
    </w:p>
    <w:p w:rsidR="000443B3" w:rsidRPr="000443B3" w:rsidRDefault="000443B3" w:rsidP="000443B3">
      <w:pPr>
        <w:pStyle w:val="Listaszerbekezds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Új-Zéland ratifikálta a CPTPP megállapodást.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 A lépéssel azért vártak eddig, hogy az ország a külföldiek ingatlanszerzését korlátozó új törvény október 22-ei hatályba lépését követően váljék hivatalosan az egyezmény tagjává. Japán, Mexikó és Szingapúr után Új-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lastRenderedPageBreak/>
        <w:t>Zéland a 4. ratifikáló állam, és 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várhatóan Ausztrália és Kanada is hamarosan csatlakozik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, ami azt jelenti, hogy 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a szükséges minimum hat részes ország ratifikációjával az egyezmény akár 2019 első hónapjaiban életbe léphet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0443B3" w:rsidRPr="000443B3" w:rsidRDefault="000443B3" w:rsidP="000443B3">
      <w:pPr>
        <w:pStyle w:val="Listaszerbekezds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443B3">
        <w:rPr>
          <w:rFonts w:ascii="Times New Roman" w:hAnsi="Times New Roman" w:cs="Times New Roman"/>
          <w:sz w:val="24"/>
          <w:szCs w:val="24"/>
          <w:lang w:val="hu-HU"/>
        </w:rPr>
        <w:t>A 11 aláíró ország közül 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elsőként ratifikálta Wellington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 xml:space="preserve"> a kilenc csendes-óceáni kis szigetállam (Cook-szigetek, Kiribati, Nauru, Niue, Salamon-szigetek, Szamoa, Tonga, Tuvalu, Vanuatu), Új-Zéland és Ausztrália részvételével 2017 júniusában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aláírt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PACER Plus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 nevű 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szabad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softHyphen/>
        <w:t>kereskedelmi egyezményt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. A megállapodás 60 nappal azt követően léphet hatályba – új-zélandi remények szerint már 2019-ben –, ha az aláírók közül legalább nyolc tagországban megtörténik a ratifikáció.</w:t>
      </w:r>
    </w:p>
    <w:p w:rsidR="000443B3" w:rsidRPr="000443B3" w:rsidRDefault="000443B3" w:rsidP="000443B3">
      <w:pPr>
        <w:pStyle w:val="Listaszerbekezds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A hidrogén energetikai célú hasznosításáról írt alá egyetértési nyilatkozatot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(Memorandum of Cooperation) az energiáért felelős 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új-zélandi miniszter japán partnerével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 Tokióban. A két ország már ma is együttműködik a témában, és a most aláírt megállapodás további lökést adhat egy geotermikus energiával működő, hidrogént előállító üzem létesítésének Új-Zélandon a japán Obayashi Corporation és a hazai Tuaropaki Trust részvételével.</w:t>
      </w:r>
    </w:p>
    <w:p w:rsidR="000443B3" w:rsidRPr="000443B3" w:rsidRDefault="000443B3" w:rsidP="000443B3">
      <w:pPr>
        <w:pStyle w:val="Listaszerbekezds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Megnevezték a miniszterelnöki üzleti tanácsadó testület (Business Advisory Council) tagjait.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 A tagokat a miniszterelnök nevezi ki két évre, a testület a tervek szerint évi három alkalommal konzultál a kormányfővel. Az augusztus végén létrehozott testületben a már korábban bejelentett elnök (Christopher Luxon, 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Air New Zealand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 CEO) mellett további 12 fő kapott helyet, akik – egyes tagok több igazgató tanácsi tisztsége révén – legalább 15 céget képviselnek. A nagyvállalati szektort reprezentálják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Fonterra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tejipari cég,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Fletcher Building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építőipari vállalatcsoport,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Bluescope/NZ Steel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acélipari cég,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Genesis Energy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és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Mercury Energy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energetikai vállalatok képviselői. A kereskedelemből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Bunnings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, a szállítmányozásból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HW Richardson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képviselője kapott meghívást, a high tech szektort a kis méretű műholdak fellövésére szakosodott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Rocket Lab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és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Xero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számviteli szoftvercég képviseli, a pénzügyi szférát pedig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Westpac Bank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és az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IAG New Zealand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. A kisebb vállalatok köréből az élelmiszeriparban működő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Kono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, illetve a média produkciós cég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Pango Productions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került be, mindkettő a maori üzleti szektort is reprezentálja. A testület tagjai közt vannak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McKinsey &amp; Company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tanácsadó cég, valamint az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NZ Media &amp; Entertainment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média konglomerátum vezetői is.</w:t>
      </w:r>
    </w:p>
    <w:p w:rsidR="000443B3" w:rsidRPr="000443B3" w:rsidRDefault="000443B3" w:rsidP="000443B3">
      <w:pPr>
        <w:pStyle w:val="Listaszerbekezds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443B3">
        <w:rPr>
          <w:rFonts w:ascii="Times New Roman" w:hAnsi="Times New Roman" w:cs="Times New Roman"/>
          <w:sz w:val="24"/>
          <w:szCs w:val="24"/>
          <w:lang w:val="hu-HU"/>
        </w:rPr>
        <w:t>Az október 8-12. közötti héten került sor Wellingtonban az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EU és Új-Zéland közötti szabadkereskedelmi megállapodásról folyó tárgyalások második fordulójára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 xml:space="preserve">. Mindkét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lastRenderedPageBreak/>
        <w:t>fél a gyors megállapodás elérésében érdekelt. Az EU szeretné, ha még a jelenlegi összetételű bizottság történelmi hagyatékaként vonulna be az EU-NZ FTA az Unió történetébe, Új-Zéland pedig az EU-NZ FTA lezárását követően mielőbb szeretne az NZ-UK FTA előkészítésére koncentrálni (NZ teljes jelenlegi EU exportjának közel 1/3-a az Egyesült Királyságba irányul). A felek megállapodtak, hogy az év végéig folytatják a különböző ágazatokra vonatkozó egyeztetéseket, és hamarosan bejelentik a következő, harmadik forduló időpontját.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Komoly vitára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a mindkét fél számára érzékeny pontnak számító és a kétoldalú kereskedelemben jelentős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mezőgazdasági termékeknél kell számítani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0443B3" w:rsidRPr="000443B3" w:rsidRDefault="000443B3" w:rsidP="000443B3">
      <w:pPr>
        <w:pStyle w:val="Listaszerbekezds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Jelentős operatív többlettel zárt az új-zélandi költségvetés és 2,8%-kal nőtt a gazdaság a június 30-án zárult 2017/18-as költségvetési évben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. Grant Robertson pénzügyminiszter bejelentette, hogy a költségvetés 5,5 milliárd NZD (kb. 1018 Mrd HUF) szufficitet mutat, amivel a kormány már az idén elérte azt az eredetileg 2022-re kitűzött célt, hogy a GDP százalékában kifejezett bruttó államadósság mértékét 20% alá viszi (ténylegesen 19,9%). Ugyancsak sikerült elérni az elsődleges költségvetési kiadások GDP-ben vett arányának 30% alá történő mérséklését (ténylegesen 27,9%). Az előbbi 300 millió NZD-vel, az utóbbi 6 milliárd NZD-vel van a kitűzött cél alatt. Megjegyzendő, hogy valamennyi adat a nemzetközitől eltérő új-zélandi módszertan szerinti számítás, így sem a költségvetési egyenleg, sem az államadósság szintje nem közvetlenül összevethető az európai országok adataival. A képet árnyalja továbbá, hogy a kiadási oldalon jelentkező 1,4%-os csökkenés egy része a következő költségvetési időszakra halasztott, államilag finanszírozott szociális lakásprogram csúszásából származik, ami a 2018/19-es költségvetést terheli majd.</w:t>
      </w:r>
    </w:p>
    <w:p w:rsidR="000443B3" w:rsidRPr="000443B3" w:rsidRDefault="000443B3" w:rsidP="000443B3">
      <w:pPr>
        <w:pStyle w:val="Listaszerbekezds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443B3">
        <w:rPr>
          <w:rFonts w:ascii="Times New Roman" w:hAnsi="Times New Roman" w:cs="Times New Roman"/>
          <w:sz w:val="24"/>
          <w:szCs w:val="24"/>
          <w:lang w:val="hu-HU"/>
        </w:rPr>
        <w:t>Október 10-én publikált legfrissebb gazdasági prognózisában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felefelé módosította Új-Zéland növekedési kilátásait az IMF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. Az áprilisi előrejelzéshez képest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2018. évi növekedést 0,2%-ponttal 3,1%-ra, a jövő évit pedig 0,1%-ponttal 3,0%-ra emelte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0443B3" w:rsidRPr="000443B3" w:rsidRDefault="000443B3" w:rsidP="000443B3">
      <w:pPr>
        <w:pStyle w:val="Listaszerbekezds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443B3">
        <w:rPr>
          <w:rFonts w:ascii="Times New Roman" w:hAnsi="Times New Roman" w:cs="Times New Roman"/>
          <w:sz w:val="24"/>
          <w:szCs w:val="24"/>
          <w:lang w:val="hu-HU"/>
        </w:rPr>
        <w:t>Az illetékes miniszterek bejelentették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2019 áprilisától bevezetni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tervezett K+F adó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softHyphen/>
        <w:t xml:space="preserve">kedvezmények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rendszerének részleteit.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A vállalati nyereségadóból a K+F ráfordítások 15%-a lesz visszaigényelhető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, a ráfordítások éves minimuma pedig 50 ezer NZD lesz (a korábbi tervek 12,5%-ról, illetve min. 100 ezer NZD-ről szóltak). A kedvezmény alapjául szolgáló éves K+F költés maximuma 120 millió NZD.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Nemzetközi összehasonlításban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– pl. a jóval kedvezőbb feltételeket kínáló Ausztráliával is összevetve –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meglehetősen csekély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ez az ösztönző. Ráadásul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nem kínál megoldást a K+F intenzív tevékenységekkel foglalkozó vállalatok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(pl. szoftver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softHyphen/>
        <w:t>fejlesztők)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azon problémájára, hogy veszteséges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működés esetén kihasznál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softHyphen/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hatatlan a kedvezmény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. Rájuk egy olyan rendszer vonatkozna, amely mindössze 1,7 millió NZD K+F költésig kínálna 15% közvetlen támogatást. Ugyanakkor fokozatosan kivezetnék a K+F beruházások ösztönzésére jelenleg futó Callaghan Growth Grant rendszert, ami max. három éves periódusra évi 5 millió NZD jogosult K+F kiadásig 20%-os támogatást biztosít, és nem függ a nyereségtől. Új-Zéland célja a K+F-re fordított forrásokat a jelenlegi – OECD viszonylatban nagyon alacsony –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GDP-arányos 1,3% körüli szintről 2028-ra 2%-ra emelni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. Ehhez tízéves távlatban a mai 3,7 Mrd NZD-ről 7,7 Mrd-ra kellene emelni a K+F költést, melyen belül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a mai 2,0 Mrd-ról 4,5 Mrd NZD-re kellene nőni a privát szféra részesedésének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0443B3" w:rsidRPr="000443B3" w:rsidRDefault="000443B3" w:rsidP="000443B3">
      <w:pPr>
        <w:pStyle w:val="Listaszerbekezds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Két elismert elemző forrás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, az Új-Zélandi Gazdaságkutató Intézet (NZIER) és az ANZ Bank is közzétette a napokban az elmúlt negyedévre vonatkozó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gazdasági bizalmi indexét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–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egymásnak ellentmondó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következtetéssel. Amiben a két közlés egyetért, az az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üzleti bizalom még mindig alacsony szintje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; de míg az NZIER a 3. negyedévre további romlást mutatott ki, addig az ANZ Bank elemzése már lassú javuló trendről számolt be. (Érdemes viszont megjegyezni, hogy az utóbbi egy évben a bizalmi index romlását az NZIER sokkal kevésbé drámainak mutatta be, mint a legtöbb más elemző, beleértve az ANZ Bankot is.) Az üzleti szféra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negatív hangulatának okai közt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egyébként minden értékelés említi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következő főbb tényezőket: a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kormány gazdaságpolitikája körüli bizonytalanság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szakmunkások hiánya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és 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munkaerő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softHyphen/>
        <w:t>költségek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növekedése,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profitráta csökkenése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fogyasztói bizalom csökkenése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0443B3" w:rsidRPr="000443B3" w:rsidRDefault="000443B3" w:rsidP="000443B3">
      <w:pPr>
        <w:pStyle w:val="Listaszerbekezds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Légiközlekedés, turizmus és technológia fókusszal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rendezték szeptember 28-án az 5.</w:t>
      </w:r>
      <w:r w:rsidR="00981C1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b/>
          <w:bCs/>
          <w:sz w:val="24"/>
          <w:szCs w:val="24"/>
          <w:lang w:val="hu-HU"/>
        </w:rPr>
        <w:t>India–Új-Zéland Üzleti Tanács csúcstalálkozót</w:t>
      </w:r>
      <w:r w:rsidR="00981C1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443B3">
        <w:rPr>
          <w:rFonts w:ascii="Times New Roman" w:hAnsi="Times New Roman" w:cs="Times New Roman"/>
          <w:sz w:val="24"/>
          <w:szCs w:val="24"/>
          <w:lang w:val="hu-HU"/>
        </w:rPr>
        <w:t>Aucklandben. A legfőbb téma a szigetországot az ázsiai kontinenssel és azon belül is Indiával összekötő légiközlekedés fejlesztése volt. Általános egyetértés volt abban, hogy a közvetlen járatok alapvető fontosságúak nem csupán a turizmus, de az üzleti, kereskedelmi, befektetési, valamint az oktatási kapcsolatok szempontjából is. A résztvevők közt voltak az új-zélandi légiforgalom érdekképviseleti szervének vezetőin túl a Jet Airways és az Air Asia diszkont légitársaságok vezetői is.</w:t>
      </w:r>
    </w:p>
    <w:sectPr w:rsidR="000443B3" w:rsidRPr="00044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786"/>
    <w:multiLevelType w:val="hybridMultilevel"/>
    <w:tmpl w:val="8BCC9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919B1"/>
    <w:multiLevelType w:val="hybridMultilevel"/>
    <w:tmpl w:val="A5647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F4F5F"/>
    <w:multiLevelType w:val="multilevel"/>
    <w:tmpl w:val="53BC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04CE5"/>
    <w:multiLevelType w:val="multilevel"/>
    <w:tmpl w:val="6A5E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223B7A"/>
    <w:multiLevelType w:val="hybridMultilevel"/>
    <w:tmpl w:val="CCB253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E4"/>
    <w:rsid w:val="000443B3"/>
    <w:rsid w:val="002451AD"/>
    <w:rsid w:val="002E581E"/>
    <w:rsid w:val="006C4952"/>
    <w:rsid w:val="0078443F"/>
    <w:rsid w:val="007C7EC1"/>
    <w:rsid w:val="009557E4"/>
    <w:rsid w:val="0098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DBEF8-4A74-4E79-A2EA-6028D805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557E4"/>
    <w:rPr>
      <w:u w:val="single"/>
    </w:rPr>
  </w:style>
  <w:style w:type="paragraph" w:styleId="Listaszerbekezds">
    <w:name w:val="List Paragraph"/>
    <w:uiPriority w:val="34"/>
    <w:qFormat/>
    <w:rsid w:val="009557E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jc w:val="left"/>
    </w:pPr>
    <w:rPr>
      <w:rFonts w:ascii="Calibri" w:eastAsia="Calibri" w:hAnsi="Calibri" w:cs="Calibri"/>
      <w:color w:val="000000"/>
      <w:u w:color="000000"/>
      <w:bdr w:val="nil"/>
      <w:lang w:val="it-IT"/>
    </w:rPr>
  </w:style>
  <w:style w:type="character" w:styleId="Kiemels2">
    <w:name w:val="Strong"/>
    <w:basedOn w:val="Bekezdsalapbettpusa"/>
    <w:uiPriority w:val="22"/>
    <w:qFormat/>
    <w:rsid w:val="006C4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1260</Words>
  <Characters>8700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Zoltán Béla - WLG</dc:creator>
  <cp:keywords/>
  <dc:description/>
  <cp:lastModifiedBy>Gyorsok Enikő Tünde - WLG</cp:lastModifiedBy>
  <cp:revision>2</cp:revision>
  <dcterms:created xsi:type="dcterms:W3CDTF">2018-11-14T02:27:00Z</dcterms:created>
  <dcterms:modified xsi:type="dcterms:W3CDTF">2018-11-14T02:27:00Z</dcterms:modified>
</cp:coreProperties>
</file>