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1E" w:rsidRPr="009557E4" w:rsidRDefault="009557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557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2018. </w:t>
      </w:r>
      <w:r w:rsidR="007C7E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szeptemberi </w:t>
      </w:r>
      <w:r w:rsidRPr="009557E4">
        <w:rPr>
          <w:rFonts w:ascii="Times New Roman" w:hAnsi="Times New Roman" w:cs="Times New Roman"/>
          <w:b/>
          <w:i/>
          <w:sz w:val="24"/>
          <w:szCs w:val="24"/>
          <w:u w:val="single"/>
        </w:rPr>
        <w:t>hírek</w:t>
      </w:r>
    </w:p>
    <w:p w:rsidR="009557E4" w:rsidRDefault="009557E4">
      <w:pPr>
        <w:rPr>
          <w:rFonts w:ascii="Times New Roman" w:hAnsi="Times New Roman" w:cs="Times New Roman"/>
          <w:sz w:val="24"/>
          <w:szCs w:val="24"/>
        </w:rPr>
      </w:pPr>
    </w:p>
    <w:p w:rsidR="006C4952" w:rsidRPr="006C4952" w:rsidRDefault="006C4952" w:rsidP="006C4952">
      <w:pPr>
        <w:numPr>
          <w:ilvl w:val="0"/>
          <w:numId w:val="5"/>
        </w:numPr>
        <w:spacing w:after="160"/>
        <w:rPr>
          <w:rFonts w:ascii="Times New Roman" w:eastAsia="Times New Roman" w:hAnsi="Times New Roman" w:cs="Times New Roman"/>
          <w:color w:val="3E474C"/>
          <w:sz w:val="24"/>
          <w:szCs w:val="24"/>
          <w:lang w:eastAsia="hu-HU"/>
        </w:rPr>
      </w:pPr>
      <w:r w:rsidRPr="006C4952">
        <w:rPr>
          <w:rFonts w:ascii="Times New Roman" w:eastAsia="Times New Roman" w:hAnsi="Times New Roman" w:cs="Times New Roman"/>
          <w:color w:val="3E474C"/>
          <w:sz w:val="24"/>
          <w:szCs w:val="24"/>
          <w:lang w:eastAsia="hu-HU"/>
        </w:rPr>
        <w:t>A kormány döntése értelmében </w:t>
      </w:r>
      <w:r w:rsidRPr="006C4952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hu-HU"/>
        </w:rPr>
        <w:t>a jelenleg még futó és 2027-ben lejáró koncessziókon túl  Új-Zéland a jövőben nem fog új koncessziókat kiadni tengeri kőolaj és földgáz lelőhelyek feltárására és kiaknázására</w:t>
      </w:r>
      <w:r w:rsidRPr="006C4952">
        <w:rPr>
          <w:rFonts w:ascii="Times New Roman" w:eastAsia="Times New Roman" w:hAnsi="Times New Roman" w:cs="Times New Roman"/>
          <w:color w:val="3E474C"/>
          <w:sz w:val="24"/>
          <w:szCs w:val="24"/>
          <w:lang w:eastAsia="hu-HU"/>
        </w:rPr>
        <w:t>. A lépés hátterében több tényező is áll, úgy mint az ország széndioxid-kibocsájtásának csökkentése, a megújuló erőforrások részarányának növelése, valamint gazdasági struktúraváltás előmozdítása elsősorban a Taranaki régióban, amely az ország kőolaj és földgáz iparának központja, és ezáltal jelentős mértékben függ az abból származó bevételektől.  Becslések szerint ez a 2027 és 2050 közötti időszakban akár 8 milliárd dollárnyi adóbevétel kiesést is jelenthet a wellingtoni kormány számára. </w:t>
      </w:r>
      <w:r w:rsidRPr="006C4952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hu-HU"/>
        </w:rPr>
        <w:t xml:space="preserve">Jelenleg 100 ezer </w:t>
      </w:r>
      <w:r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hu-HU"/>
        </w:rPr>
        <w:t>km</w:t>
      </w:r>
      <w:r w:rsidRPr="006C4952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hu-HU"/>
        </w:rPr>
        <w:t xml:space="preserve"> </w:t>
      </w:r>
      <w:r w:rsidRPr="006C4952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hu-HU"/>
        </w:rPr>
        <w:t>területen 31 hazai és külföldi vállalat rendelkezik szénhidrogén-kutatásra és kiaknázásra jogosító engedéllyel.</w:t>
      </w:r>
    </w:p>
    <w:p w:rsidR="007C7EC1" w:rsidRPr="00891229" w:rsidRDefault="007C7EC1" w:rsidP="007C7EC1">
      <w:pPr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91229">
        <w:rPr>
          <w:rFonts w:ascii="Times New Roman" w:hAnsi="Times New Roman" w:cs="Times New Roman"/>
          <w:b/>
          <w:bCs/>
          <w:sz w:val="24"/>
          <w:szCs w:val="24"/>
        </w:rPr>
        <w:t>Átlépte a tízezret az Új-Zélandon regisztrált elektromos járművek száma</w:t>
      </w:r>
      <w:r w:rsidRPr="00891229">
        <w:rPr>
          <w:rFonts w:ascii="Times New Roman" w:hAnsi="Times New Roman" w:cs="Times New Roman"/>
          <w:sz w:val="24"/>
          <w:szCs w:val="24"/>
        </w:rPr>
        <w:t xml:space="preserve"> – jelentették be szeptember 24-én a közlekedési tárca vezetői. Egyelőre a kb. négymilliós járműállománynak ez csak 0,25%-a, de a növekedés üteme meglehetősen gyors: </w:t>
      </w:r>
      <w:r w:rsidRPr="00891229">
        <w:rPr>
          <w:rFonts w:ascii="Times New Roman" w:hAnsi="Times New Roman" w:cs="Times New Roman"/>
          <w:b/>
          <w:bCs/>
          <w:sz w:val="24"/>
          <w:szCs w:val="24"/>
        </w:rPr>
        <w:t>2014 eleje óta</w:t>
      </w:r>
      <w:r w:rsidRPr="00891229">
        <w:rPr>
          <w:rFonts w:ascii="Times New Roman" w:hAnsi="Times New Roman" w:cs="Times New Roman"/>
          <w:sz w:val="24"/>
          <w:szCs w:val="24"/>
        </w:rPr>
        <w:t xml:space="preserve">, amikor e járművek igazán elkezdtek tért hódítani az országban, </w:t>
      </w:r>
      <w:r w:rsidRPr="00891229">
        <w:rPr>
          <w:rFonts w:ascii="Times New Roman" w:hAnsi="Times New Roman" w:cs="Times New Roman"/>
          <w:b/>
          <w:bCs/>
          <w:sz w:val="24"/>
          <w:szCs w:val="24"/>
        </w:rPr>
        <w:t>nagyjából évente megduplázódott a számuk</w:t>
      </w:r>
      <w:r w:rsidRPr="00891229">
        <w:rPr>
          <w:rFonts w:ascii="Times New Roman" w:hAnsi="Times New Roman" w:cs="Times New Roman"/>
          <w:sz w:val="24"/>
          <w:szCs w:val="24"/>
        </w:rPr>
        <w:t xml:space="preserve">. (Az elektromos jármű kategóriába csak a külső hálózatról tölthető, ún. plug-in járművek tartoznak bele, a hálózatról nem tölthető hibridek nem.) Új-Zéland egyébként azon kevés fejlett országok egyike, ahol a személy- és teherautók útadó alóli mentessége az egyetlen érdemi anyagi ösztönzés az elektromos járművekre történő áttérés érdekében, noha </w:t>
      </w:r>
      <w:r w:rsidRPr="00891229">
        <w:rPr>
          <w:rFonts w:ascii="Times New Roman" w:hAnsi="Times New Roman" w:cs="Times New Roman"/>
          <w:b/>
          <w:bCs/>
          <w:sz w:val="24"/>
          <w:szCs w:val="24"/>
        </w:rPr>
        <w:t>a kormány célja 64 ezer elektromos jármű 2021 végéig</w:t>
      </w:r>
      <w:r w:rsidRPr="00891229">
        <w:rPr>
          <w:rFonts w:ascii="Times New Roman" w:hAnsi="Times New Roman" w:cs="Times New Roman"/>
          <w:sz w:val="24"/>
          <w:szCs w:val="24"/>
        </w:rPr>
        <w:t>. Ezzel a kedvezménnyel egy kisebb méretű dízelhez képest 10 ezer km futásteljesítmény mellett nagyjából 113 ezer Ft-nak megfelelő összeget takarít</w:t>
      </w:r>
      <w:r w:rsidR="006C4952">
        <w:rPr>
          <w:rFonts w:ascii="Times New Roman" w:hAnsi="Times New Roman" w:cs="Times New Roman"/>
          <w:sz w:val="24"/>
          <w:szCs w:val="24"/>
        </w:rPr>
        <w:softHyphen/>
      </w:r>
      <w:r w:rsidRPr="00891229">
        <w:rPr>
          <w:rFonts w:ascii="Times New Roman" w:hAnsi="Times New Roman" w:cs="Times New Roman"/>
          <w:sz w:val="24"/>
          <w:szCs w:val="24"/>
        </w:rPr>
        <w:t>hatnak meg az elektromos személyautók tulajdonosai; teherautóknál a megtakarítás sokkal jelentősebb. A közekedési tárca vizsgálja a fokozottabb állami ösztönzés lehetőségeit, de egyelőre nagy horderejű programok nem indultak.</w:t>
      </w:r>
    </w:p>
    <w:p w:rsidR="007C7EC1" w:rsidRDefault="007C7EC1" w:rsidP="007C7EC1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A 0,8%-os várakozásokat meghaladó mértékben, </w:t>
      </w:r>
      <w:r>
        <w:rPr>
          <w:rFonts w:ascii="Times New Roman" w:hAnsi="Times New Roman" w:cs="Times New Roman"/>
          <w:b/>
          <w:bCs/>
          <w:sz w:val="24"/>
          <w:szCs w:val="24"/>
        </w:rPr>
        <w:t>1,0%-kal növekedett 2018 II. negyedévében Új-Zéland gazdasága az előző három hónaphoz viszonyítva</w:t>
      </w:r>
      <w:r>
        <w:rPr>
          <w:rFonts w:ascii="Times New Roman" w:hAnsi="Times New Roman" w:cs="Times New Roman"/>
          <w:sz w:val="24"/>
          <w:szCs w:val="24"/>
        </w:rPr>
        <w:t xml:space="preserve">. Ez jelentős ugrás az 1. negyedév 0,5%-os növekedése után, és a legjobb negyedéves adat az elmúlt két évben. A bányászat kivételével minden gazdasági ágazat növekedést produkált a 2. negyedévben, kiugró mértékben a mezőgazdaság és erdészet (4,1%), de jól teljesítettek a szolgáltatások és a feldolgozóipar is. Éves szinten a 2017. július és 2018. június közötti 12 hónapban 2,7% a GDP növekedése, ami egyértelmű lassulás ugyan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korábbi évekhez képest, de nem olyan mértékű esés, mint amivel egyes politikusok és elemzők ijesztgettek néhány hónappal ezelőtt. </w:t>
      </w:r>
      <w:r>
        <w:rPr>
          <w:rFonts w:ascii="Times New Roman" w:hAnsi="Times New Roman" w:cs="Times New Roman"/>
          <w:b/>
          <w:bCs/>
          <w:sz w:val="24"/>
          <w:szCs w:val="24"/>
        </w:rPr>
        <w:t>Folyó áron az éves GDP nagysága 289 Mrd NZD (207 milliárd USD) volt.</w:t>
      </w:r>
    </w:p>
    <w:p w:rsidR="007C7EC1" w:rsidRDefault="007C7EC1" w:rsidP="007C7EC1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14-22. között </w:t>
      </w:r>
      <w:r>
        <w:rPr>
          <w:rFonts w:ascii="Times New Roman" w:hAnsi="Times New Roman" w:cs="Times New Roman"/>
          <w:b/>
          <w:bCs/>
          <w:sz w:val="24"/>
          <w:szCs w:val="24"/>
        </w:rPr>
        <w:t>Kínába és Japánba látogatott</w:t>
      </w:r>
      <w:r>
        <w:rPr>
          <w:rFonts w:ascii="Times New Roman" w:hAnsi="Times New Roman" w:cs="Times New Roman"/>
          <w:sz w:val="24"/>
          <w:szCs w:val="24"/>
        </w:rPr>
        <w:t xml:space="preserve"> az ágazatot képviselő üzletemberek kíséretében </w:t>
      </w:r>
      <w:r>
        <w:rPr>
          <w:rFonts w:ascii="Times New Roman" w:hAnsi="Times New Roman" w:cs="Times New Roman"/>
          <w:b/>
          <w:bCs/>
          <w:sz w:val="24"/>
          <w:szCs w:val="24"/>
        </w:rPr>
        <w:t>az erdészetért felelős miniszter, Shane Jones</w:t>
      </w:r>
      <w:r>
        <w:rPr>
          <w:rFonts w:ascii="Times New Roman" w:hAnsi="Times New Roman" w:cs="Times New Roman"/>
          <w:sz w:val="24"/>
          <w:szCs w:val="24"/>
        </w:rPr>
        <w:t>. A delegáció részt vett a Csunkingban sorra kerülő 8. Globális Erdészeti Kereskedelmi Konferencián (Global Wood Trade Conference). A tejtermékek, marha- és birkahús után az erdészeti termékek adják Új-Zéland 3. legfontosabb kiviteli termékét, 2017-ben a 4,65 Mrd NZD értékű export 13%-os növekedést jelentett, és az idei évben tovább emelkedett a kivitel, elsősorban a kínai vevőknek köszönhetően. 2017-ben a teljes faipari export 53%-a irányult Kínába, további jelentős piac Dél-Korea és Japán. Utóbbi ráadásul fontos befektető az új-zélandi fafeldolgozásban.</w:t>
      </w:r>
    </w:p>
    <w:p w:rsidR="007C7EC1" w:rsidRDefault="007C7EC1" w:rsidP="007C7EC1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világ egyik legnagyobb tejipari cége, az új-zélandi tulajdonú </w:t>
      </w:r>
      <w:r>
        <w:rPr>
          <w:rFonts w:ascii="Times New Roman" w:hAnsi="Times New Roman" w:cs="Times New Roman"/>
          <w:b/>
          <w:bCs/>
          <w:sz w:val="24"/>
          <w:szCs w:val="24"/>
        </w:rPr>
        <w:t>Fonterra Co-operative Group 196 millió NZD nagyságú veszteségről számolt be</w:t>
      </w:r>
      <w:r>
        <w:rPr>
          <w:rFonts w:ascii="Times New Roman" w:hAnsi="Times New Roman" w:cs="Times New Roman"/>
          <w:sz w:val="24"/>
          <w:szCs w:val="24"/>
        </w:rPr>
        <w:t xml:space="preserve"> a július végéig tartó 12 hónapos időszakban. Ez az első veszteséges év a két nagy elődvállalat összeolvadásából létrejött cég 17 éves történetében. A hír nem okozott meglepetést, bár a veszteség összege valamivel meghaladta a várakozásokat. A közvetlen okok között két jelentős egyszeri tétel is szerepel, egy 232 millió NZD-s kártérítés a Danone-nak (2013-ban botulizmust okozó baktérium-szennyezés miatt kellett visszahívni a Fonterra alapanyagából készült termékeket), illetve 439 millió NZD leírás a kínai Beingmate cégben való befektetésből adódóan. Emellett a Fonterra piaci előjelzései is túl optimistának bizonyultak, a felvásárlási és értékesítési árak terén számos tényező kedvezőt</w:t>
      </w:r>
      <w:r>
        <w:rPr>
          <w:rFonts w:ascii="Times New Roman" w:hAnsi="Times New Roman" w:cs="Times New Roman"/>
          <w:sz w:val="24"/>
          <w:szCs w:val="24"/>
        </w:rPr>
        <w:softHyphen/>
        <w:t>lenebbül alakult az év során. Egyébként a cég 20,4 Mrd NZD éves forgalom mellett 902 millió NZD adózás előtti eredményt könyvelhetett el, ami már második éve romló tendenciát mutat. A 8 millió NZD (kb. 1,5 Mrd HUF) éves jövedelmet hozó állásából nemrég távozott vezér</w:t>
      </w:r>
      <w:r>
        <w:rPr>
          <w:rFonts w:ascii="Times New Roman" w:hAnsi="Times New Roman" w:cs="Times New Roman"/>
          <w:sz w:val="24"/>
          <w:szCs w:val="24"/>
        </w:rPr>
        <w:softHyphen/>
        <w:t>igazgató ideiglenes utódja és az igazgatóság elnöke szerint is változtatni kell az óriáscég működésén.</w:t>
      </w:r>
    </w:p>
    <w:p w:rsidR="007C7EC1" w:rsidRPr="00891229" w:rsidRDefault="007C7EC1" w:rsidP="007C7EC1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91229">
        <w:rPr>
          <w:rFonts w:ascii="Times New Roman" w:hAnsi="Times New Roman" w:cs="Times New Roman"/>
          <w:sz w:val="24"/>
          <w:szCs w:val="24"/>
        </w:rPr>
        <w:t xml:space="preserve">Elfogadta a kormány azt a javaslatot, hogy </w:t>
      </w:r>
      <w:r w:rsidRPr="00891229">
        <w:rPr>
          <w:rFonts w:ascii="Times New Roman" w:hAnsi="Times New Roman" w:cs="Times New Roman"/>
          <w:b/>
          <w:bCs/>
          <w:sz w:val="24"/>
          <w:szCs w:val="24"/>
        </w:rPr>
        <w:t>az országba belépő külföldi turistáktól 35 NZD környezetvédelmi és turisztikai adót szedjenek be</w:t>
      </w:r>
      <w:r w:rsidRPr="00891229">
        <w:rPr>
          <w:rFonts w:ascii="Times New Roman" w:hAnsi="Times New Roman" w:cs="Times New Roman"/>
          <w:sz w:val="24"/>
          <w:szCs w:val="24"/>
        </w:rPr>
        <w:t xml:space="preserve">. A döntést széleskörű társadalmi és szakmai egyeztetés előzte meg, amelyben – nem meglepő módon – a turisztikai szakma jobbára a bevezetés ellen, a helyi önkormányzatok és környezetvédő csoportok pedig mellette foglaltak állást. Mentesülnek az adó megfizetése alól Ausztrália és számos </w:t>
      </w:r>
      <w:r w:rsidRPr="00891229">
        <w:rPr>
          <w:rFonts w:ascii="Times New Roman" w:hAnsi="Times New Roman" w:cs="Times New Roman"/>
          <w:sz w:val="24"/>
          <w:szCs w:val="24"/>
        </w:rPr>
        <w:lastRenderedPageBreak/>
        <w:t xml:space="preserve">csendes-óceáni szigetország állampolgárai, valamint a nem turisztikai célú utazók (pl. üzleti vízummal belépők, repülők és hajók személyzete). Az adót a vízumköteles országok utazóitól a vízumdíjjal együtt, más utazóktól pedig a szintén bevezetés előtt álló ún. „elektronikus utazási hatóságon” (Electronic Travel Authority) keresztül fogják beszedni. A kormány az adótól várt – egyébként nem túl jelentős, kezdetben évi 80 millió NZD (mai árfolyamon kb. 14,64 Mrd HUF) – bevételt fele-fele arányban tervezi a turisztikai infrastruktúrára és környezetvédelmi intézkedésekre fordítani. A bevezetéshez </w:t>
      </w:r>
      <w:r w:rsidRPr="00891229">
        <w:rPr>
          <w:rFonts w:ascii="Times New Roman" w:hAnsi="Times New Roman" w:cs="Times New Roman"/>
          <w:b/>
          <w:bCs/>
          <w:sz w:val="24"/>
          <w:szCs w:val="24"/>
        </w:rPr>
        <w:t>törvényt kell alkotni</w:t>
      </w:r>
      <w:r w:rsidRPr="00891229">
        <w:rPr>
          <w:rFonts w:ascii="Times New Roman" w:hAnsi="Times New Roman" w:cs="Times New Roman"/>
          <w:sz w:val="24"/>
          <w:szCs w:val="24"/>
        </w:rPr>
        <w:t>, így az adó tényleges alkalmazására a kormány legkorábban 2019 második felétől számít.</w:t>
      </w:r>
    </w:p>
    <w:p w:rsidR="007C7EC1" w:rsidRDefault="007C7EC1" w:rsidP="007C7EC1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hatalmas igényre válaszul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drasztikusan megemelte az új-zélandi kormány az októbertől áprilisig tartó főszezonban a többnapos gyalogtúra-útvonalak (Great Walks) legnépszerűbbjeinek szállásdíjait a külföldi látogatók számára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A déli sziget négy túraútvonalán a most induló szezonban a külföldi turisták az új-zélandi rezidensekhez képest dupla árat fizetnek a szállásért, ráadásul a gyerekekre sincs kedvezmény. Pl. a Fiordland National Parkban főszezonban sátorral 30-40 NZD/fő/éj, turistaházban pedig 130-140 NZD/fő/éj a díj a külföldi turistáknak. (Részletek: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https://www.doc.govt.nz/news/issues/great-walks-differential-pricing-trial-201819/pricing/</w:t>
        </w:r>
      </w:hyperlink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.)</w:t>
      </w:r>
    </w:p>
    <w:p w:rsidR="007C7EC1" w:rsidRDefault="007C7EC1" w:rsidP="007C7EC1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Az új-zélandi statisztikai hivatal legfrissebb adatai szerint </w:t>
      </w:r>
      <w:r>
        <w:rPr>
          <w:rFonts w:ascii="Times New Roman" w:hAnsi="Times New Roman" w:cs="Times New Roman"/>
          <w:b/>
          <w:bCs/>
          <w:sz w:val="24"/>
          <w:szCs w:val="24"/>
        </w:rPr>
        <w:t>az ország lakossága június 30-án 4,89 millió fő volt</w:t>
      </w:r>
      <w:r>
        <w:rPr>
          <w:rFonts w:ascii="Times New Roman" w:hAnsi="Times New Roman" w:cs="Times New Roman"/>
          <w:sz w:val="24"/>
          <w:szCs w:val="24"/>
        </w:rPr>
        <w:t xml:space="preserve">. Ez 1,9%-os (95000 fős) növekedést jelent az egy évvel korábbi adathoz képest. A természetes népszaporulat azonban csak 26500 fő volt, miközben </w:t>
      </w:r>
      <w:r>
        <w:rPr>
          <w:rFonts w:ascii="Times New Roman" w:hAnsi="Times New Roman" w:cs="Times New Roman"/>
          <w:b/>
          <w:bCs/>
          <w:sz w:val="24"/>
          <w:szCs w:val="24"/>
        </w:rPr>
        <w:t>a nettó bevándorlás 65000 fővel növelte a lakosságot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7E4" w:rsidRPr="006C4952" w:rsidRDefault="007C7EC1" w:rsidP="006C4952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>
        <w:rPr>
          <w:rFonts w:ascii="Times New Roman" w:hAnsi="Times New Roman" w:cs="Times New Roman"/>
          <w:b/>
          <w:bCs/>
          <w:sz w:val="24"/>
          <w:szCs w:val="24"/>
        </w:rPr>
        <w:t>három évre szóló 16,9 Mrd NZD nagyságú közlekedésfejlesztési</w:t>
      </w:r>
      <w:r>
        <w:rPr>
          <w:rFonts w:ascii="Times New Roman" w:hAnsi="Times New Roman" w:cs="Times New Roman"/>
          <w:sz w:val="24"/>
          <w:szCs w:val="24"/>
        </w:rPr>
        <w:t xml:space="preserve"> csomag részleteit jelentette be Phil Twyford közlekedési miniszter. A finanszírozás része a költségvetési tervben szereplő allokációnak, tehát nem új forrásról van szó. A programban kiemelt tétel az aucklandi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tömegközlekedés</w:t>
      </w:r>
      <w:r>
        <w:rPr>
          <w:rFonts w:ascii="Times New Roman" w:hAnsi="Times New Roman" w:cs="Times New Roman"/>
          <w:sz w:val="24"/>
          <w:szCs w:val="24"/>
        </w:rPr>
        <w:t xml:space="preserve"> fejlesztése (5,7 Mrd NZD), emellett az ország többi részén további 4,0 Mrd NZD-t szánnak szintén a tömegközlekedés javítására, az </w:t>
      </w:r>
      <w:r>
        <w:rPr>
          <w:rFonts w:ascii="Times New Roman" w:hAnsi="Times New Roman" w:cs="Times New Roman"/>
          <w:b/>
          <w:bCs/>
          <w:sz w:val="24"/>
          <w:szCs w:val="24"/>
        </w:rPr>
        <w:t>országúthálózat</w:t>
      </w:r>
      <w:r>
        <w:rPr>
          <w:rFonts w:ascii="Times New Roman" w:hAnsi="Times New Roman" w:cs="Times New Roman"/>
          <w:sz w:val="24"/>
          <w:szCs w:val="24"/>
        </w:rPr>
        <w:t xml:space="preserve"> fejlesztésére pedig 5,7 Mrd-ot, amelynek fő tétele a legveszélyesebb útszakaszok korszerűsítése a súlyos balesetek számának csökkentése érdekében. (2017-ben 378 halálos áldozata volt a közúti baleseteknek, ami a lakosságszámra vetítve rosszabb a vonatkozó magyar adatnál.)</w:t>
      </w:r>
    </w:p>
    <w:sectPr w:rsidR="009557E4" w:rsidRPr="006C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86"/>
    <w:multiLevelType w:val="hybridMultilevel"/>
    <w:tmpl w:val="8BCC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9B1"/>
    <w:multiLevelType w:val="hybridMultilevel"/>
    <w:tmpl w:val="A5647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F5F"/>
    <w:multiLevelType w:val="multilevel"/>
    <w:tmpl w:val="53B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23B7A"/>
    <w:multiLevelType w:val="hybridMultilevel"/>
    <w:tmpl w:val="CCB25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4"/>
    <w:rsid w:val="002E581E"/>
    <w:rsid w:val="006C4952"/>
    <w:rsid w:val="0078443F"/>
    <w:rsid w:val="007C7EC1"/>
    <w:rsid w:val="009557E4"/>
    <w:rsid w:val="00E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BEF8-4A74-4E79-A2EA-6028D80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57E4"/>
    <w:rPr>
      <w:u w:val="single"/>
    </w:rPr>
  </w:style>
  <w:style w:type="paragraph" w:styleId="Listaszerbekezds">
    <w:name w:val="List Paragraph"/>
    <w:uiPriority w:val="34"/>
    <w:qFormat/>
    <w:rsid w:val="009557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styleId="Kiemels2">
    <w:name w:val="Strong"/>
    <w:basedOn w:val="Bekezdsalapbettpusa"/>
    <w:uiPriority w:val="22"/>
    <w:qFormat/>
    <w:rsid w:val="006C4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c.govt.nz/news/issues/great-walks-differential-pricing-trial-201819/pri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 Béla - WLG</dc:creator>
  <cp:keywords/>
  <dc:description/>
  <cp:lastModifiedBy>Gyorsok Enikő Tünde - WLG</cp:lastModifiedBy>
  <cp:revision>2</cp:revision>
  <dcterms:created xsi:type="dcterms:W3CDTF">2018-10-08T20:29:00Z</dcterms:created>
  <dcterms:modified xsi:type="dcterms:W3CDTF">2018-10-08T20:29:00Z</dcterms:modified>
</cp:coreProperties>
</file>